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2362E">
      <w:pPr>
        <w:spacing w:after="400" w:line="400" w:lineRule="atLeast"/>
        <w:jc w:val="center"/>
      </w:pPr>
      <w:r>
        <w:rPr>
          <w:b/>
          <w:sz w:val="39"/>
        </w:rPr>
        <w:t>Product Specifications</w:t>
      </w:r>
      <w:bookmarkStart w:id="0" w:name="_GoBack"/>
      <w:bookmarkEnd w:id="0"/>
    </w:p>
    <w:p w14:paraId="6B89A453">
      <w:pPr>
        <w:spacing w:after="400" w:line="400" w:lineRule="atLeast"/>
      </w:pPr>
      <w:r>
        <w:rPr>
          <w:i/>
        </w:rPr>
        <w:t>Last Updated: 2025-04-14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943"/>
        <w:gridCol w:w="1030"/>
        <w:gridCol w:w="1356"/>
        <w:gridCol w:w="1358"/>
        <w:gridCol w:w="1416"/>
        <w:gridCol w:w="1273"/>
      </w:tblGrid>
      <w:tr w14:paraId="686F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253B08B6">
            <w:pPr>
              <w:spacing w:after="400" w:line="400" w:lineRule="exact"/>
            </w:pPr>
            <w:r>
              <w:rPr>
                <w:b/>
              </w:rPr>
              <w:t>Product</w:t>
            </w:r>
          </w:p>
        </w:tc>
        <w:tc>
          <w:tcPr>
            <w:tcW w:w="1185" w:type="dxa"/>
          </w:tcPr>
          <w:p w14:paraId="2D667F98">
            <w:pPr>
              <w:spacing w:after="400" w:line="400" w:lineRule="exact"/>
            </w:pPr>
            <w:r>
              <w:rPr>
                <w:b/>
              </w:rPr>
              <w:t>Moisture</w:t>
            </w:r>
          </w:p>
        </w:tc>
        <w:tc>
          <w:tcPr>
            <w:tcW w:w="1185" w:type="dxa"/>
          </w:tcPr>
          <w:p w14:paraId="66F9B510">
            <w:pPr>
              <w:spacing w:after="400" w:line="400" w:lineRule="exact"/>
            </w:pPr>
            <w:r>
              <w:rPr>
                <w:b/>
              </w:rPr>
              <w:t>Impurities</w:t>
            </w:r>
          </w:p>
        </w:tc>
        <w:tc>
          <w:tcPr>
            <w:tcW w:w="1185" w:type="dxa"/>
          </w:tcPr>
          <w:p w14:paraId="17A19A0C">
            <w:pPr>
              <w:spacing w:after="400" w:line="400" w:lineRule="exact"/>
            </w:pPr>
            <w:r>
              <w:rPr>
                <w:b/>
              </w:rPr>
              <w:t>Defect Rate</w:t>
            </w:r>
          </w:p>
        </w:tc>
        <w:tc>
          <w:tcPr>
            <w:tcW w:w="1185" w:type="dxa"/>
          </w:tcPr>
          <w:p w14:paraId="695EEDBD">
            <w:pPr>
              <w:spacing w:after="400" w:line="400" w:lineRule="exact"/>
            </w:pPr>
            <w:r>
              <w:rPr>
                <w:b/>
              </w:rPr>
              <w:t>Packaging</w:t>
            </w:r>
          </w:p>
        </w:tc>
        <w:tc>
          <w:tcPr>
            <w:tcW w:w="1185" w:type="dxa"/>
          </w:tcPr>
          <w:p w14:paraId="65DE4506">
            <w:pPr>
              <w:spacing w:after="400" w:line="400" w:lineRule="exact"/>
            </w:pPr>
            <w:r>
              <w:rPr>
                <w:b/>
              </w:rPr>
              <w:t>Storage</w:t>
            </w:r>
          </w:p>
        </w:tc>
        <w:tc>
          <w:tcPr>
            <w:tcW w:w="1185" w:type="dxa"/>
          </w:tcPr>
          <w:p w14:paraId="52D80A58">
            <w:pPr>
              <w:spacing w:after="400" w:line="400" w:lineRule="exact"/>
            </w:pPr>
            <w:r>
              <w:rPr>
                <w:b/>
              </w:rPr>
              <w:t>Certifications</w:t>
            </w:r>
          </w:p>
        </w:tc>
      </w:tr>
      <w:tr w14:paraId="47DC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116F904D">
            <w:pPr>
              <w:spacing w:after="400" w:line="400" w:lineRule="exact"/>
            </w:pPr>
            <w:r>
              <w:rPr>
                <w:b/>
              </w:rPr>
              <w:t>Walnut (In-shell)</w:t>
            </w:r>
          </w:p>
        </w:tc>
        <w:tc>
          <w:tcPr>
            <w:tcW w:w="1185" w:type="dxa"/>
          </w:tcPr>
          <w:p w14:paraId="334D961B">
            <w:pPr>
              <w:spacing w:after="400" w:line="400" w:lineRule="exact"/>
            </w:pPr>
            <w:r>
              <w:t>≤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185" w:type="dxa"/>
          </w:tcPr>
          <w:p w14:paraId="107EE3EE">
            <w:pPr>
              <w:spacing w:after="400" w:line="400" w:lineRule="exact"/>
            </w:pPr>
            <w:r>
              <w:t>≤0.05% shells</w:t>
            </w:r>
          </w:p>
        </w:tc>
        <w:tc>
          <w:tcPr>
            <w:tcW w:w="1185" w:type="dxa"/>
          </w:tcPr>
          <w:p w14:paraId="4DE1879D">
            <w:pPr>
              <w:spacing w:after="400" w:line="400" w:lineRule="exact"/>
            </w:pPr>
            <w:r>
              <w:t>≤5% (broken/mold)</w:t>
            </w:r>
          </w:p>
        </w:tc>
        <w:tc>
          <w:tcPr>
            <w:tcW w:w="1185" w:type="dxa"/>
          </w:tcPr>
          <w:p w14:paraId="447DEA85">
            <w:pPr>
              <w:spacing w:after="400" w:line="400" w:lineRule="exact"/>
            </w:pPr>
            <w:r>
              <w:t xml:space="preserve">12.5kg vacuum bags in cartons; customizable </w:t>
            </w:r>
          </w:p>
        </w:tc>
        <w:tc>
          <w:tcPr>
            <w:tcW w:w="1185" w:type="dxa"/>
          </w:tcPr>
          <w:p w14:paraId="2CA401FD">
            <w:pPr>
              <w:spacing w:after="400" w:line="400" w:lineRule="exact"/>
            </w:pPr>
            <w:r>
              <w:t xml:space="preserve">Cool (15-25°C), dry, ventilated </w:t>
            </w:r>
          </w:p>
        </w:tc>
        <w:tc>
          <w:tcPr>
            <w:tcW w:w="1185" w:type="dxa"/>
          </w:tcPr>
          <w:p w14:paraId="55854A1A">
            <w:pPr>
              <w:spacing w:after="400" w:line="400" w:lineRule="exact"/>
              <w:rPr>
                <w:rFonts w:hint="default" w:eastAsiaTheme="minorEastAsia"/>
                <w:lang w:val="en-US" w:eastAsia="zh-CN"/>
              </w:rPr>
            </w:pPr>
            <w:r>
              <w:t>BRCGS A</w:t>
            </w:r>
            <w:r>
              <w:rPr>
                <w:rFonts w:hint="eastAsia"/>
                <w:lang w:val="en-US" w:eastAsia="zh-CN"/>
              </w:rPr>
              <w:t xml:space="preserve"> Grade</w:t>
            </w:r>
            <w:r>
              <w:t xml:space="preserve"> , USDA/EC/JAS Organic , </w:t>
            </w:r>
            <w:r>
              <w:rPr>
                <w:rFonts w:hint="eastAsia"/>
                <w:lang w:val="en-US" w:eastAsia="zh-CN"/>
              </w:rPr>
              <w:t>SGS</w:t>
            </w:r>
          </w:p>
        </w:tc>
      </w:tr>
      <w:tr w14:paraId="6D77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510EC475">
            <w:pPr>
              <w:spacing w:after="400" w:line="400" w:lineRule="exact"/>
            </w:pPr>
            <w:r>
              <w:rPr>
                <w:b/>
              </w:rPr>
              <w:t>Walnut Kernel</w:t>
            </w:r>
          </w:p>
        </w:tc>
        <w:tc>
          <w:tcPr>
            <w:tcW w:w="1185" w:type="dxa"/>
          </w:tcPr>
          <w:p w14:paraId="4B01A702">
            <w:pPr>
              <w:spacing w:after="400" w:line="400" w:lineRule="exact"/>
            </w:pPr>
            <w:r>
              <w:t xml:space="preserve">≤5% </w:t>
            </w:r>
          </w:p>
        </w:tc>
        <w:tc>
          <w:tcPr>
            <w:tcW w:w="1185" w:type="dxa"/>
          </w:tcPr>
          <w:p w14:paraId="46E772A6">
            <w:pPr>
              <w:spacing w:after="400" w:line="400" w:lineRule="exact"/>
            </w:pPr>
            <w:r>
              <w:t xml:space="preserve">Not allowed </w:t>
            </w:r>
          </w:p>
        </w:tc>
        <w:tc>
          <w:tcPr>
            <w:tcW w:w="1185" w:type="dxa"/>
          </w:tcPr>
          <w:p w14:paraId="0C0600E3">
            <w:pPr>
              <w:spacing w:after="400" w:line="400" w:lineRule="exact"/>
            </w:pPr>
            <w:r>
              <w:t xml:space="preserve">≤0.5% mold [9], ≤2% free fatty acids </w:t>
            </w:r>
          </w:p>
        </w:tc>
        <w:tc>
          <w:tcPr>
            <w:tcW w:w="1185" w:type="dxa"/>
          </w:tcPr>
          <w:p w14:paraId="1C725E8A">
            <w:pPr>
              <w:spacing w:after="400" w:line="400" w:lineRule="exact"/>
            </w:pPr>
            <w:r>
              <w:t xml:space="preserve">12.5kg vacuum-sealed cartons </w:t>
            </w:r>
          </w:p>
        </w:tc>
        <w:tc>
          <w:tcPr>
            <w:tcW w:w="1185" w:type="dxa"/>
          </w:tcPr>
          <w:p w14:paraId="009B686B">
            <w:pPr>
              <w:spacing w:after="400" w:line="400" w:lineRule="exact"/>
            </w:pPr>
            <w:r>
              <w:t>Refrigerated (4-8°C recommended)</w:t>
            </w:r>
          </w:p>
        </w:tc>
        <w:tc>
          <w:tcPr>
            <w:tcW w:w="1185" w:type="dxa"/>
          </w:tcPr>
          <w:p w14:paraId="3827CFDF">
            <w:pPr>
              <w:spacing w:after="400" w:line="400" w:lineRule="exact"/>
            </w:pPr>
            <w:r>
              <w:t>INC member , BRCGS A级</w:t>
            </w:r>
          </w:p>
        </w:tc>
      </w:tr>
      <w:tr w14:paraId="46BD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13DDCDBB">
            <w:pPr>
              <w:spacing w:after="400" w:line="400" w:lineRule="exact"/>
            </w:pPr>
            <w:r>
              <w:rPr>
                <w:b/>
              </w:rPr>
              <w:t>Pumpkin Seed (In-shell)</w:t>
            </w:r>
          </w:p>
        </w:tc>
        <w:tc>
          <w:tcPr>
            <w:tcW w:w="1185" w:type="dxa"/>
          </w:tcPr>
          <w:p w14:paraId="2AF2865A">
            <w:pPr>
              <w:spacing w:after="400" w:line="400" w:lineRule="exact"/>
            </w:pPr>
            <w:r>
              <w:t xml:space="preserve">≤10% </w:t>
            </w:r>
          </w:p>
        </w:tc>
        <w:tc>
          <w:tcPr>
            <w:tcW w:w="1185" w:type="dxa"/>
          </w:tcPr>
          <w:p w14:paraId="156FAC2C">
            <w:pPr>
              <w:spacing w:after="400" w:line="400" w:lineRule="exact"/>
            </w:pPr>
            <w:r>
              <w:t xml:space="preserve">≤0.3% </w:t>
            </w:r>
          </w:p>
        </w:tc>
        <w:tc>
          <w:tcPr>
            <w:tcW w:w="1185" w:type="dxa"/>
          </w:tcPr>
          <w:p w14:paraId="42AF76B5">
            <w:pPr>
              <w:spacing w:after="400" w:line="400" w:lineRule="exact"/>
            </w:pPr>
            <w:r>
              <w:t xml:space="preserve">≤3% broken </w:t>
            </w:r>
          </w:p>
        </w:tc>
        <w:tc>
          <w:tcPr>
            <w:tcW w:w="1185" w:type="dxa"/>
          </w:tcPr>
          <w:p w14:paraId="49C092B4">
            <w:pPr>
              <w:spacing w:after="400" w:line="400" w:lineRule="exact"/>
            </w:pPr>
            <w:r>
              <w:t>25kg/50kg PP bags; vacuum options</w:t>
            </w:r>
          </w:p>
        </w:tc>
        <w:tc>
          <w:tcPr>
            <w:tcW w:w="1185" w:type="dxa"/>
          </w:tcPr>
          <w:p w14:paraId="55B355A6">
            <w:pPr>
              <w:spacing w:after="400" w:line="400" w:lineRule="exact"/>
            </w:pPr>
            <w:r>
              <w:t xml:space="preserve">Dry (&lt;60% RH), ≤25°C </w:t>
            </w:r>
          </w:p>
        </w:tc>
        <w:tc>
          <w:tcPr>
            <w:tcW w:w="1185" w:type="dxa"/>
          </w:tcPr>
          <w:p w14:paraId="003EA5FA">
            <w:pPr>
              <w:spacing w:after="400" w:line="400" w:lineRule="exact"/>
              <w:rPr>
                <w:rFonts w:hint="default" w:eastAsiaTheme="minorEastAsia"/>
                <w:lang w:val="en-US" w:eastAsia="zh-CN"/>
              </w:rPr>
            </w:pPr>
            <w:r>
              <w:t xml:space="preserve">HACCP, </w:t>
            </w:r>
            <w:r>
              <w:rPr>
                <w:rFonts w:hint="eastAsia"/>
                <w:lang w:val="en-US" w:eastAsia="zh-CN"/>
              </w:rPr>
              <w:t>BRC</w:t>
            </w:r>
          </w:p>
        </w:tc>
      </w:tr>
      <w:tr w14:paraId="44ED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6EA88D27">
            <w:pPr>
              <w:spacing w:after="400" w:line="400" w:lineRule="exact"/>
            </w:pPr>
            <w:r>
              <w:rPr>
                <w:b/>
              </w:rPr>
              <w:t>Pumpkin Seed Kernel</w:t>
            </w:r>
          </w:p>
        </w:tc>
        <w:tc>
          <w:tcPr>
            <w:tcW w:w="1185" w:type="dxa"/>
          </w:tcPr>
          <w:p w14:paraId="1D9650B0">
            <w:pPr>
              <w:spacing w:after="400" w:line="400" w:lineRule="exact"/>
            </w:pPr>
            <w:r>
              <w:t xml:space="preserve">≤7.5% </w:t>
            </w:r>
          </w:p>
        </w:tc>
        <w:tc>
          <w:tcPr>
            <w:tcW w:w="1185" w:type="dxa"/>
          </w:tcPr>
          <w:p w14:paraId="63ED42C9">
            <w:pPr>
              <w:spacing w:after="400" w:line="400" w:lineRule="exact"/>
            </w:pPr>
            <w:r>
              <w:t xml:space="preserve">≤0.3% </w:t>
            </w:r>
          </w:p>
        </w:tc>
        <w:tc>
          <w:tcPr>
            <w:tcW w:w="1185" w:type="dxa"/>
          </w:tcPr>
          <w:p w14:paraId="151189AE">
            <w:pPr>
              <w:spacing w:after="400" w:line="400" w:lineRule="exact"/>
            </w:pPr>
            <w:r>
              <w:t xml:space="preserve">≤3% broken </w:t>
            </w:r>
          </w:p>
        </w:tc>
        <w:tc>
          <w:tcPr>
            <w:tcW w:w="1185" w:type="dxa"/>
          </w:tcPr>
          <w:p w14:paraId="29EDE175">
            <w:pPr>
              <w:spacing w:after="400" w:line="400" w:lineRule="exact"/>
            </w:pPr>
            <w:r>
              <w:t xml:space="preserve">25kg kraft paper/vacuum bags </w:t>
            </w:r>
          </w:p>
        </w:tc>
        <w:tc>
          <w:tcPr>
            <w:tcW w:w="1185" w:type="dxa"/>
          </w:tcPr>
          <w:p w14:paraId="7531112D">
            <w:pPr>
              <w:spacing w:after="400" w:line="400" w:lineRule="exact"/>
            </w:pPr>
            <w:r>
              <w:t xml:space="preserve">2-year shelf life in anti-pest storage </w:t>
            </w:r>
          </w:p>
        </w:tc>
        <w:tc>
          <w:tcPr>
            <w:tcW w:w="1185" w:type="dxa"/>
          </w:tcPr>
          <w:p w14:paraId="52643250">
            <w:pPr>
              <w:spacing w:after="400" w:line="400" w:lineRule="exact"/>
            </w:pPr>
            <w:r>
              <w:t xml:space="preserve">BRC, Halal </w:t>
            </w:r>
          </w:p>
        </w:tc>
      </w:tr>
      <w:tr w14:paraId="41CD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0054C592">
            <w:pPr>
              <w:spacing w:after="400" w:line="400" w:lineRule="exact"/>
            </w:pPr>
            <w:r>
              <w:rPr>
                <w:b/>
              </w:rPr>
              <w:t>Macadamia Nut</w:t>
            </w:r>
          </w:p>
        </w:tc>
        <w:tc>
          <w:tcPr>
            <w:tcW w:w="1185" w:type="dxa"/>
          </w:tcPr>
          <w:p w14:paraId="27777E7A">
            <w:pPr>
              <w:spacing w:after="400" w:line="400" w:lineRule="exact"/>
            </w:pPr>
            <w:r>
              <w:t xml:space="preserve">≤5% </w:t>
            </w:r>
          </w:p>
        </w:tc>
        <w:tc>
          <w:tcPr>
            <w:tcW w:w="1185" w:type="dxa"/>
          </w:tcPr>
          <w:p w14:paraId="22202C46">
            <w:pPr>
              <w:spacing w:after="400" w:line="400" w:lineRule="exact"/>
            </w:pPr>
            <w:r>
              <w:t xml:space="preserve">≤1% foreign matter </w:t>
            </w:r>
          </w:p>
        </w:tc>
        <w:tc>
          <w:tcPr>
            <w:tcW w:w="1185" w:type="dxa"/>
          </w:tcPr>
          <w:p w14:paraId="28D3B85F">
            <w:pPr>
              <w:spacing w:after="400" w:line="400" w:lineRule="exact"/>
            </w:pPr>
            <w:r>
              <w:t>≤5% unopened shells</w:t>
            </w:r>
          </w:p>
        </w:tc>
        <w:tc>
          <w:tcPr>
            <w:tcW w:w="1185" w:type="dxa"/>
          </w:tcPr>
          <w:p w14:paraId="0AC11247">
            <w:pPr>
              <w:spacing w:after="400" w:line="400" w:lineRule="exact"/>
            </w:pPr>
            <w:r>
              <w:t xml:space="preserve">20kg cartons with food-grade liners </w:t>
            </w:r>
          </w:p>
        </w:tc>
        <w:tc>
          <w:tcPr>
            <w:tcW w:w="1185" w:type="dxa"/>
          </w:tcPr>
          <w:p w14:paraId="626EB92F">
            <w:pPr>
              <w:spacing w:after="400" w:line="400" w:lineRule="exact"/>
            </w:pPr>
            <w:r>
              <w:t xml:space="preserve">15-25°C in vacuum packs </w:t>
            </w:r>
          </w:p>
        </w:tc>
        <w:tc>
          <w:tcPr>
            <w:tcW w:w="1185" w:type="dxa"/>
          </w:tcPr>
          <w:p w14:paraId="1D461C72">
            <w:pPr>
              <w:spacing w:after="400"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HACCP</w:t>
            </w:r>
          </w:p>
        </w:tc>
      </w:tr>
      <w:tr w14:paraId="34FE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44C54B6B">
            <w:pPr>
              <w:spacing w:after="400" w:line="400" w:lineRule="exact"/>
            </w:pPr>
            <w:r>
              <w:rPr>
                <w:b/>
              </w:rPr>
              <w:t>Sunflower Seed</w:t>
            </w:r>
          </w:p>
        </w:tc>
        <w:tc>
          <w:tcPr>
            <w:tcW w:w="1185" w:type="dxa"/>
          </w:tcPr>
          <w:p w14:paraId="46EC9E17">
            <w:pPr>
              <w:spacing w:after="400" w:line="400" w:lineRule="exact"/>
            </w:pPr>
            <w:r>
              <w:t xml:space="preserve">≤8% </w:t>
            </w:r>
          </w:p>
        </w:tc>
        <w:tc>
          <w:tcPr>
            <w:tcW w:w="1185" w:type="dxa"/>
          </w:tcPr>
          <w:p w14:paraId="4F9662F8">
            <w:pPr>
              <w:spacing w:after="400" w:line="400" w:lineRule="exact"/>
            </w:pPr>
            <w:r>
              <w:t xml:space="preserve">≤0.1% </w:t>
            </w:r>
          </w:p>
        </w:tc>
        <w:tc>
          <w:tcPr>
            <w:tcW w:w="1185" w:type="dxa"/>
          </w:tcPr>
          <w:p w14:paraId="77E96F67">
            <w:pPr>
              <w:spacing w:after="400" w:line="400" w:lineRule="exact"/>
            </w:pPr>
            <w:r>
              <w:t xml:space="preserve">≤5% shriveled </w:t>
            </w:r>
          </w:p>
        </w:tc>
        <w:tc>
          <w:tcPr>
            <w:tcW w:w="1185" w:type="dxa"/>
          </w:tcPr>
          <w:p w14:paraId="25097471">
            <w:pPr>
              <w:spacing w:after="400" w:line="400" w:lineRule="exact"/>
            </w:pPr>
            <w:r>
              <w:t xml:space="preserve">25kg woven poly bags </w:t>
            </w:r>
          </w:p>
        </w:tc>
        <w:tc>
          <w:tcPr>
            <w:tcW w:w="1185" w:type="dxa"/>
          </w:tcPr>
          <w:p w14:paraId="549B61D3">
            <w:pPr>
              <w:spacing w:after="400" w:line="400" w:lineRule="exact"/>
            </w:pPr>
            <w:r>
              <w:t xml:space="preserve">Avoid light exposure </w:t>
            </w:r>
          </w:p>
        </w:tc>
        <w:tc>
          <w:tcPr>
            <w:tcW w:w="1185" w:type="dxa"/>
          </w:tcPr>
          <w:p w14:paraId="2A3FA9ED">
            <w:pPr>
              <w:spacing w:after="400" w:line="400" w:lineRule="exact"/>
            </w:pPr>
            <w:r>
              <w:t xml:space="preserve">China CIQ standards </w:t>
            </w:r>
          </w:p>
        </w:tc>
      </w:tr>
      <w:tr w14:paraId="1209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1A2434AA">
            <w:pPr>
              <w:spacing w:after="400" w:line="400" w:lineRule="exact"/>
            </w:pPr>
            <w:r>
              <w:rPr>
                <w:b/>
              </w:rPr>
              <w:t>Sunflower Seed Kernel</w:t>
            </w:r>
          </w:p>
        </w:tc>
        <w:tc>
          <w:tcPr>
            <w:tcW w:w="1185" w:type="dxa"/>
          </w:tcPr>
          <w:p w14:paraId="127A0644">
            <w:pPr>
              <w:spacing w:after="400" w:line="400" w:lineRule="exact"/>
            </w:pPr>
            <w:r>
              <w:t xml:space="preserve">≤7% </w:t>
            </w:r>
          </w:p>
        </w:tc>
        <w:tc>
          <w:tcPr>
            <w:tcW w:w="1185" w:type="dxa"/>
          </w:tcPr>
          <w:p w14:paraId="124CB085">
            <w:pPr>
              <w:spacing w:after="400" w:line="400" w:lineRule="exact"/>
            </w:pPr>
            <w:r>
              <w:t xml:space="preserve">Not allowed </w:t>
            </w:r>
          </w:p>
        </w:tc>
        <w:tc>
          <w:tcPr>
            <w:tcW w:w="1185" w:type="dxa"/>
          </w:tcPr>
          <w:p w14:paraId="5C1CE07C">
            <w:pPr>
              <w:spacing w:after="400" w:line="400" w:lineRule="exact"/>
            </w:pPr>
            <w:r>
              <w:t xml:space="preserve">≤2% discolored </w:t>
            </w:r>
          </w:p>
        </w:tc>
        <w:tc>
          <w:tcPr>
            <w:tcW w:w="1185" w:type="dxa"/>
          </w:tcPr>
          <w:p w14:paraId="1C0F56F2">
            <w:pPr>
              <w:spacing w:after="400" w:line="400" w:lineRule="exact"/>
            </w:pPr>
            <w:r>
              <w:t xml:space="preserve">10-12kg retail cartons </w:t>
            </w:r>
          </w:p>
        </w:tc>
        <w:tc>
          <w:tcPr>
            <w:tcW w:w="1185" w:type="dxa"/>
          </w:tcPr>
          <w:p w14:paraId="3DC2DB4A">
            <w:pPr>
              <w:spacing w:after="400" w:line="400" w:lineRule="exact"/>
            </w:pPr>
            <w:r>
              <w:t xml:space="preserve">Airtight containers </w:t>
            </w:r>
          </w:p>
        </w:tc>
        <w:tc>
          <w:tcPr>
            <w:tcW w:w="1185" w:type="dxa"/>
          </w:tcPr>
          <w:p w14:paraId="6392773C">
            <w:pPr>
              <w:spacing w:after="400"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BRC</w:t>
            </w:r>
          </w:p>
        </w:tc>
      </w:tr>
    </w:tbl>
    <w:p w14:paraId="1CC076C7">
      <w:pPr>
        <w:spacing w:before="400" w:after="400" w:line="400" w:lineRule="atLeast"/>
      </w:pPr>
      <w:r>
        <w:rPr>
          <w:b/>
          <w:sz w:val="33"/>
        </w:rPr>
        <w:t>Key Technical Notes:</w:t>
      </w:r>
    </w:p>
    <w:p w14:paraId="4E39B77C">
      <w:pPr>
        <w:numPr>
          <w:ilvl w:val="0"/>
          <w:numId w:val="1"/>
        </w:numPr>
        <w:spacing w:after="400" w:line="400" w:lineRule="atLeast"/>
      </w:pPr>
      <w:r>
        <w:rPr>
          <w:b/>
        </w:rPr>
        <w:t>Quality Control Parameters</w:t>
      </w:r>
      <w:r>
        <w:t>:</w:t>
      </w:r>
    </w:p>
    <w:p w14:paraId="27432102">
      <w:pPr>
        <w:numPr>
          <w:ilvl w:val="0"/>
          <w:numId w:val="2"/>
        </w:numPr>
        <w:spacing w:after="400" w:line="400" w:lineRule="atLeast"/>
      </w:pPr>
      <w:r>
        <w:rPr>
          <w:i/>
        </w:rPr>
        <w:t>Moisture</w:t>
      </w:r>
      <w:r>
        <w:t>: Critical for shelf stability, measured via</w:t>
      </w:r>
      <w:r>
        <w:rPr>
          <w:rFonts w:hint="eastAsia"/>
          <w:lang w:val="en-US" w:eastAsia="zh-CN"/>
        </w:rPr>
        <w:t xml:space="preserve"> HACCP</w:t>
      </w:r>
      <w:r>
        <w:t xml:space="preserve"> methods</w:t>
      </w:r>
    </w:p>
    <w:p w14:paraId="271D0EFB">
      <w:pPr>
        <w:numPr>
          <w:ilvl w:val="0"/>
          <w:numId w:val="2"/>
        </w:numPr>
        <w:spacing w:after="400" w:line="400" w:lineRule="atLeast"/>
      </w:pPr>
      <w:r>
        <w:rPr>
          <w:i/>
        </w:rPr>
        <w:t>Defects</w:t>
      </w:r>
      <w:r>
        <w:t>: Includes mold, insect damage, and mechanical imperfections</w:t>
      </w:r>
    </w:p>
    <w:p w14:paraId="6F982FFD">
      <w:pPr>
        <w:numPr>
          <w:ilvl w:val="0"/>
          <w:numId w:val="2"/>
        </w:numPr>
        <w:spacing w:after="400" w:line="400" w:lineRule="atLeast"/>
      </w:pPr>
      <w:r>
        <w:rPr>
          <w:i/>
        </w:rPr>
        <w:t>Packaging</w:t>
      </w:r>
      <w:r>
        <w:t>: Vacuum sealing extends shelf life by 30-50% compared to standard packaging</w:t>
      </w:r>
    </w:p>
    <w:p w14:paraId="30125743">
      <w:pPr>
        <w:numPr>
          <w:ilvl w:val="0"/>
          <w:numId w:val="1"/>
        </w:numPr>
        <w:spacing w:after="400" w:line="400" w:lineRule="atLeast"/>
      </w:pPr>
      <w:r>
        <w:rPr>
          <w:b/>
        </w:rPr>
        <w:t>Storage Guidelines</w:t>
      </w:r>
      <w:r>
        <w:t>:</w:t>
      </w:r>
    </w:p>
    <w:p w14:paraId="17796F28">
      <w:pPr>
        <w:numPr>
          <w:ilvl w:val="0"/>
          <w:numId w:val="2"/>
        </w:numPr>
        <w:spacing w:after="400" w:line="400" w:lineRule="atLeast"/>
      </w:pPr>
      <w:r>
        <w:t>Optimal conditions: 4-8°C temperature, 50-60% RH</w:t>
      </w:r>
    </w:p>
    <w:p w14:paraId="642D6FF2">
      <w:pPr>
        <w:numPr>
          <w:ilvl w:val="0"/>
          <w:numId w:val="2"/>
        </w:numPr>
        <w:spacing w:after="400" w:line="400" w:lineRule="atLeast"/>
      </w:pPr>
      <w:r>
        <w:t>Shelf life: 12-24 months for vacuum-packed products</w:t>
      </w:r>
    </w:p>
    <w:p w14:paraId="0BA0EFD3">
      <w:pPr>
        <w:numPr>
          <w:ilvl w:val="0"/>
          <w:numId w:val="1"/>
        </w:numPr>
        <w:spacing w:after="400" w:line="400" w:lineRule="atLeast"/>
      </w:pPr>
      <w:r>
        <w:rPr>
          <w:b/>
        </w:rPr>
        <w:t>Certification Highlights</w:t>
      </w:r>
      <w:r>
        <w:t>:</w:t>
      </w:r>
    </w:p>
    <w:p w14:paraId="6CB19D22">
      <w:pPr>
        <w:numPr>
          <w:ilvl w:val="0"/>
          <w:numId w:val="2"/>
        </w:numPr>
        <w:spacing w:after="400" w:line="400" w:lineRule="atLeast"/>
      </w:pPr>
      <w:r>
        <w:rPr>
          <w:b/>
        </w:rPr>
        <w:t>BRCGS AA Grade</w:t>
      </w:r>
      <w:r>
        <w:t>: Achieved through annual audits covering food safety protocols</w:t>
      </w:r>
    </w:p>
    <w:p w14:paraId="7834DDBE">
      <w:pPr>
        <w:numPr>
          <w:ilvl w:val="0"/>
          <w:numId w:val="2"/>
        </w:numPr>
        <w:spacing w:after="400" w:line="400" w:lineRule="atLeast"/>
      </w:pPr>
      <w:r>
        <w:rPr>
          <w:b/>
        </w:rPr>
        <w:t>Organic Certifications</w:t>
      </w:r>
      <w:r>
        <w:t xml:space="preserve">: Includes USDA/NOP, EU 834/2007, and </w:t>
      </w:r>
      <w:r>
        <w:rPr>
          <w:rFonts w:hint="eastAsia"/>
          <w:lang w:val="en-US" w:eastAsia="zh-CN"/>
        </w:rPr>
        <w:t>HALA</w:t>
      </w:r>
      <w:r>
        <w:t xml:space="preserve"> standards</w:t>
      </w:r>
    </w:p>
    <w:p w14:paraId="28A3B24F">
      <w:pPr>
        <w:numPr>
          <w:ilvl w:val="0"/>
          <w:numId w:val="2"/>
        </w:numPr>
        <w:spacing w:after="400" w:line="400" w:lineRule="atLeast"/>
      </w:pPr>
      <w:r>
        <w:rPr>
          <w:b/>
        </w:rPr>
        <w:t>HACCP</w:t>
      </w:r>
      <w:r>
        <w:t>: Validated through CCP monitoring at 5 production stages</w:t>
      </w:r>
    </w:p>
    <w:p w14:paraId="2B3B36FD">
      <w:pPr>
        <w:spacing w:after="200" w:line="400" w:lineRule="atLeas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B8DD6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suff w:val="nothing"/>
      <w:lvlText w:val="%1."/>
      <w:lvlJc w:val="left"/>
    </w:lvl>
    <w:lvl w:ilvl="1" w:tentative="0">
      <w:start w:val="1"/>
      <w:numFmt w:val="decimal"/>
      <w:suff w:val="nothing"/>
      <w:lvlText w:val="%1.%2."/>
      <w:lvlJc w:val="left"/>
    </w:lvl>
    <w:lvl w:ilvl="2" w:tentative="0">
      <w:start w:val="1"/>
      <w:numFmt w:val="decimal"/>
      <w:suff w:val="nothing"/>
      <w:lvlText w:val="%1.%2.%3."/>
      <w:lvlJc w:val="left"/>
    </w:lvl>
    <w:lvl w:ilvl="3" w:tentative="0">
      <w:start w:val="1"/>
      <w:numFmt w:val="decimal"/>
      <w:suff w:val="nothing"/>
      <w:lvlText w:val="%1.%2.%3.%4."/>
      <w:lvlJc w:val="left"/>
    </w:lvl>
    <w:lvl w:ilvl="4" w:tentative="0">
      <w:start w:val="1"/>
      <w:numFmt w:val="decimal"/>
      <w:suff w:val="nothing"/>
      <w:lvlText w:val="%1.%2.%3.%4.%5."/>
      <w:lvlJc w:val="left"/>
    </w:lvl>
    <w:lvl w:ilvl="5" w:tentative="0">
      <w:start w:val="1"/>
      <w:numFmt w:val="decimal"/>
      <w:suff w:val="nothing"/>
      <w:lvlText w:val="%1.%2.%3.%4.%5.%6."/>
      <w:lvlJc w:val="left"/>
    </w:lvl>
    <w:lvl w:ilvl="6" w:tentative="0">
      <w:start w:val="1"/>
      <w:numFmt w:val="decimal"/>
      <w:suff w:val="nothing"/>
      <w:lvlText w:val="%1.%2.%3.%4.%5.%6.%7."/>
      <w:lvlJc w:val="left"/>
    </w:lvl>
    <w:lvl w:ilvl="7" w:tentative="0">
      <w:start w:val="1"/>
      <w:numFmt w:val="decimal"/>
      <w:suff w:val="nothing"/>
      <w:lvlText w:val="%1.%2.%3.%4.%5.%6.%7.%8."/>
      <w:lvlJc w:val="left"/>
    </w:lvl>
    <w:lvl w:ilvl="8" w:tentative="0">
      <w:start w:val="1"/>
      <w:numFmt w:val="decimal"/>
      <w:suff w:val="nothing"/>
      <w:lvlText w:val="%1.%2.%3.%4.%5.%6.%7.%8.%9."/>
      <w:lvlJc w:val="left"/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suff w:val="nothing"/>
      <w:lvlText w:val=""/>
      <w:lvlJc w:val="left"/>
      <w:rPr>
        <w:rFonts w:hint="default" w:ascii="Wingdings" w:hAnsi="Wingdings"/>
      </w:rPr>
    </w:lvl>
    <w:lvl w:ilvl="1" w:tentative="0">
      <w:start w:val="1"/>
      <w:numFmt w:val="bullet"/>
      <w:suff w:val="nothing"/>
      <w:lvlText w:val=""/>
      <w:lvlJc w:val="left"/>
      <w:pPr>
        <w:ind w:left="210"/>
      </w:pPr>
      <w:rPr>
        <w:rFonts w:hint="default" w:ascii="Wingdings" w:hAnsi="Wingdings"/>
      </w:rPr>
    </w:lvl>
    <w:lvl w:ilvl="2" w:tentative="0">
      <w:start w:val="1"/>
      <w:numFmt w:val="bullet"/>
      <w:suff w:val="nothing"/>
      <w:lvlText w:val=""/>
      <w:lvlJc w:val="left"/>
      <w:pPr>
        <w:ind w:left="420"/>
      </w:pPr>
      <w:rPr>
        <w:rFonts w:hint="default" w:ascii="Wingdings" w:hAnsi="Wingdings"/>
      </w:rPr>
    </w:lvl>
    <w:lvl w:ilvl="3" w:tentative="0">
      <w:start w:val="1"/>
      <w:numFmt w:val="bullet"/>
      <w:suff w:val="nothing"/>
      <w:lvlText w:val=""/>
      <w:lvlJc w:val="left"/>
      <w:pPr>
        <w:ind w:left="630"/>
      </w:pPr>
      <w:rPr>
        <w:rFonts w:hint="default" w:ascii="Wingdings" w:hAnsi="Wingdings"/>
      </w:rPr>
    </w:lvl>
    <w:lvl w:ilvl="4" w:tentative="0">
      <w:start w:val="1"/>
      <w:numFmt w:val="bullet"/>
      <w:suff w:val="nothing"/>
      <w:lvlText w:val=""/>
      <w:lvlJc w:val="left"/>
      <w:pPr>
        <w:ind w:left="840"/>
      </w:pPr>
      <w:rPr>
        <w:rFonts w:hint="default" w:ascii="Wingdings" w:hAnsi="Wingdings"/>
      </w:rPr>
    </w:lvl>
    <w:lvl w:ilvl="5" w:tentative="0">
      <w:start w:val="1"/>
      <w:numFmt w:val="bullet"/>
      <w:suff w:val="nothing"/>
      <w:lvlText w:val=""/>
      <w:lvlJc w:val="left"/>
      <w:pPr>
        <w:ind w:left="1050"/>
      </w:pPr>
      <w:rPr>
        <w:rFonts w:hint="default" w:ascii="Wingdings" w:hAnsi="Wingdings"/>
      </w:rPr>
    </w:lvl>
    <w:lvl w:ilvl="6" w:tentative="0">
      <w:start w:val="1"/>
      <w:numFmt w:val="bullet"/>
      <w:suff w:val="nothing"/>
      <w:lvlText w:val=""/>
      <w:lvlJc w:val="left"/>
      <w:pPr>
        <w:ind w:left="1260"/>
      </w:pPr>
      <w:rPr>
        <w:rFonts w:hint="default" w:ascii="Wingdings" w:hAnsi="Wingdings"/>
      </w:rPr>
    </w:lvl>
    <w:lvl w:ilvl="7" w:tentative="0">
      <w:start w:val="1"/>
      <w:numFmt w:val="bullet"/>
      <w:suff w:val="nothing"/>
      <w:lvlText w:val=""/>
      <w:lvlJc w:val="left"/>
      <w:pPr>
        <w:ind w:left="1470"/>
      </w:pPr>
      <w:rPr>
        <w:rFonts w:hint="default" w:ascii="Wingdings" w:hAnsi="Wingdings"/>
      </w:rPr>
    </w:lvl>
    <w:lvl w:ilvl="8" w:tentative="0">
      <w:start w:val="1"/>
      <w:numFmt w:val="bullet"/>
      <w:suff w:val="nothing"/>
      <w:lvlText w:val=""/>
      <w:lvlJc w:val="left"/>
      <w:pPr>
        <w:ind w:left="168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44C0140A"/>
    <w:rsid w:val="4ECE0988"/>
    <w:rsid w:val="60BD2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13"/>
    <w:link w:val="10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261</Words>
  <Characters>1543</Characters>
  <TotalTime>18</TotalTime>
  <ScaleCrop>false</ScaleCrop>
  <LinksUpToDate>false</LinksUpToDate>
  <CharactersWithSpaces>1747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2025-04-14T03:19:00Z</dcterms:created>
  <dc:creator>86133</dc:creator>
  <cp:lastModifiedBy>尼伯龙根的指环</cp:lastModifiedBy>
  <dcterms:modified xsi:type="dcterms:W3CDTF">2025-04-14T05:19:58Z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eyJoZGlkIjoiM2Q2ZWVkYzI0ZGU1MTk1MTFiYzU5NTRjYTc3MDY2OGMiLCJ1c2VySWQiOiIzNDMwMTY1OTUifQ==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205A262221EB472BBAA21A802C774984_12</vt:lpwstr>
  </property>
</Properties>
</file>